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right"/>
        <w:rPr>
          <w:rFonts w:ascii="Arial" w:hAnsi="Arial"/>
          <w:b/>
          <w:bCs/>
          <w:sz w:val="19"/>
          <w:szCs w:val="19"/>
          <w14:ligatures w14:val="none"/>
        </w:rPr>
      </w:pPr>
      <w:r>
        <w:rPr>
          <w:rFonts w:ascii="Arial" w:hAnsi="Arial"/>
          <w:b/>
          <w:bCs/>
          <w:sz w:val="19"/>
          <w:szCs w:val="19"/>
          <w:lang w:val="ru-RU"/>
        </w:rPr>
        <w:t xml:space="preserve">Приложение 1 к форме раскрытия информации за 1 квартал 2026</w:t>
      </w:r>
      <w:r>
        <w:rPr>
          <w:rFonts w:ascii="Arial" w:hAnsi="Arial"/>
          <w:b/>
          <w:bCs/>
          <w:sz w:val="19"/>
          <w:szCs w:val="19"/>
        </w:rPr>
      </w:r>
    </w:p>
    <w:p>
      <w:pPr>
        <w:pBdr/>
        <w:spacing w:after="0"/>
        <w:ind/>
        <w:jc w:val="left"/>
        <w:rPr>
          <w:rFonts w:ascii="Arial" w:hAnsi="Arial"/>
          <w:b/>
          <w:bCs/>
          <w:sz w:val="19"/>
          <w:szCs w:val="19"/>
          <w14:ligatures w14:val="none"/>
        </w:rPr>
      </w:pPr>
      <w:r>
        <w:rPr>
          <w:rFonts w:ascii="Arial" w:hAnsi="Arial"/>
          <w:b/>
          <w:bCs/>
          <w:sz w:val="19"/>
          <w:szCs w:val="19"/>
          <w:lang w:val="ru-RU"/>
        </w:rPr>
      </w:r>
      <w:r>
        <w:rPr>
          <w:rFonts w:ascii="Arial" w:hAnsi="Arial"/>
          <w:b/>
          <w:bCs/>
          <w:sz w:val="19"/>
          <w:szCs w:val="19"/>
          <w:lang w:val="ru-RU"/>
        </w:rPr>
      </w:r>
    </w:p>
    <w:tbl>
      <w:tblPr>
        <w:tblStyle w:val="658"/>
        <w:tblW w:w="5000" w:type="pct"/>
        <w:tblBorders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5"/>
        <w:gridCol w:w="188"/>
        <w:gridCol w:w="1559"/>
        <w:gridCol w:w="1134"/>
        <w:gridCol w:w="1417"/>
        <w:gridCol w:w="1417"/>
        <w:gridCol w:w="1619"/>
        <w:gridCol w:w="1501"/>
      </w:tblGrid>
      <w:tr>
        <w:trPr>
          <w:cantSplit/>
        </w:trPr>
        <w:tc>
          <w:tcPr>
            <w:gridSpan w:val="8"/>
            <w:shd w:val="clear" w:color="auto" w:fill="auto"/>
            <w:tcBorders/>
            <w:tcW w:w="11341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>
                <w:rFonts w:ascii="Arial" w:hAnsi="Arial"/>
                <w:b/>
                <w:bCs/>
                <w:sz w:val="19"/>
                <w:szCs w:val="19"/>
                <w14:ligatures w14:val="none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 xml:space="preserve">Акционерное общество "Региональный центр навигационных услуг по Курской области"</w:t>
            </w:r>
            <w:r>
              <w:rPr>
                <w:rFonts w:ascii="Arial" w:hAnsi="Arial"/>
                <w:b/>
                <w:bCs/>
                <w:sz w:val="19"/>
                <w:szCs w:val="19"/>
              </w:rPr>
            </w:r>
          </w:p>
          <w:p>
            <w:pPr>
              <w:pBdr/>
              <w:spacing w:after="0"/>
              <w:ind/>
              <w:jc w:val="left"/>
              <w:rPr>
                <w:rFonts w:ascii="Arial" w:hAnsi="Arial"/>
                <w:b/>
                <w:bCs/>
                <w:sz w:val="19"/>
                <w:szCs w:val="19"/>
                <w14:ligatures w14:val="none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</w:r>
            <w:r>
              <w:rPr>
                <w:rFonts w:ascii="Arial" w:hAnsi="Arial"/>
                <w:b/>
                <w:bCs/>
                <w:sz w:val="19"/>
                <w:szCs w:val="19"/>
              </w:rPr>
            </w:r>
          </w:p>
        </w:tc>
      </w:tr>
      <w:tr>
        <w:trPr>
          <w:cantSplit/>
        </w:trPr>
        <w:tc>
          <w:tcPr>
            <w:gridSpan w:val="8"/>
            <w:shd w:val="clear" w:color="auto" w:fill="auto"/>
            <w:tcBorders/>
            <w:tcW w:w="11341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b/>
                <w:sz w:val="19"/>
                <w:szCs w:val="19"/>
              </w:rPr>
              <w:t xml:space="preserve">НМА.13 за 1 квартал 2026 г.</w:t>
            </w:r>
            <w:r/>
          </w:p>
          <w:p>
            <w:pPr>
              <w:pBdr/>
              <w:spacing w:after="0"/>
              <w:ind/>
              <w:jc w:val="left"/>
              <w:rPr/>
            </w:pPr>
            <w:r/>
            <w:r/>
          </w:p>
          <w:p>
            <w:pPr>
              <w:pBdr/>
              <w:spacing w:after="0"/>
              <w:ind/>
              <w:jc w:val="left"/>
              <w:rPr/>
            </w:pPr>
            <w:r/>
            <w:r/>
          </w:p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</w:tr>
      <w:tr>
        <w:trPr>
          <w:cantSplit/>
          <w:trHeight w:val="194"/>
        </w:trPr>
        <w:tc>
          <w:tcPr>
            <w:shd w:val="clear" w:color="auto" w:fill="auto"/>
            <w:tcBorders/>
            <w:tcW w:w="2505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88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134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417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619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1501" w:type="dxa"/>
            <w:vAlign w:val="bottom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/>
            <w:r/>
          </w:p>
        </w:tc>
      </w:tr>
      <w:tr>
        <w:trPr>
          <w:cantSplit/>
          <w:trHeight w:val="283"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textDirection w:val="lrTb"/>
            <w:noWrap w:val="false"/>
          </w:tcPr>
          <w:p>
            <w:pPr>
              <w:pBdr/>
              <w:spacing w:after="0"/>
              <w:ind w:left="0"/>
              <w:jc w:val="left"/>
              <w:rPr/>
            </w:pPr>
            <w:r>
              <w:rPr>
                <w:rFonts w:ascii="Arial" w:hAnsi="Arial"/>
                <w:color w:val="003f2f"/>
                <w:sz w:val="15"/>
                <w:szCs w:val="15"/>
                <w:lang w:val="ru-RU"/>
              </w:rPr>
              <w:t xml:space="preserve">Наименование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8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Сумма на 01.01.2026</w:t>
            </w:r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Движение</w:t>
            </w:r>
            <w:r/>
          </w:p>
        </w:tc>
        <w:tc>
          <w:tcPr>
            <w:gridSpan w:val="2"/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Arial" w:hAnsi="Arial"/>
                <w:color w:val="003f2f"/>
                <w:sz w:val="14"/>
                <w:szCs w:val="14"/>
              </w:rPr>
              <w:t xml:space="preserve">С</w:t>
            </w:r>
            <w:r>
              <w:rPr>
                <w:rFonts w:ascii="Arial" w:hAnsi="Arial"/>
                <w:color w:val="003f2f"/>
                <w:sz w:val="14"/>
                <w:szCs w:val="14"/>
                <w:lang w:val="ru-RU"/>
              </w:rPr>
              <w:t xml:space="preserve">умма на 01.04.2026</w:t>
            </w:r>
            <w:r/>
          </w:p>
        </w:tc>
      </w:tr>
      <w:tr>
        <w:trPr>
          <w:cantSplit/>
          <w:trHeight w:val="129"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88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619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01" w:type="dxa"/>
            <w:vAlign w:val="top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62"/>
        </w:trPr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0"/>
              <w:jc w:val="lef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НМА.13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46 626 048,90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46 626 048,90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267,000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color w:val="003f2f"/>
                <w:sz w:val="15"/>
                <w:szCs w:val="15"/>
              </w:rPr>
              <w:t xml:space="preserve">267,000</w:t>
            </w:r>
            <w:r/>
          </w:p>
        </w:tc>
        <w:tc>
          <w:tcPr>
            <w:shd w:val="clear" w:color="auto" w:fill="e4f0dd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1С: Предприятие 8.3 Сервер МИНИ на 5 подключений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14 400,00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  <w:trHeight w:val="219"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Лицезия на модуль "Сирена-Базиссервер/03"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Лицензирование геодезической и картографической деятельности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Маркер событий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Маркер событий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Маркер событий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Маркер событий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обработкасигналов GPS L2C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обработкасигналов GPS L2C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обработкасигналов GPS L2C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82 500,00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  <w:trHeight w:val="330"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ПО "Пилот". Распределенная сеть VRS (Сетевое решение VRSна базисах 120 км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 ПО передача сетевых поправок в режиме VRS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480 000,00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-обработка сигналов GPS L2C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1 320 000,00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1 320 000,00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Mikrofik Cloud Hosted Roufer Perpetual 1 Gbit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3 037,00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3 037,00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 Диспетчера "Сирена- Дорожное строительство"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 Диспетчера "Сирена- ЖКХ"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 Диспетчера "Сирена- МЦ"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"Сирена -Базис администратор РНИЦ"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"Сирена -Базис руководитель РНИЦ"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89 000,00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"Сирена -Базис/ старший диспетчер РНИЦ"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Диспетчера "Сирена-Опасные грузы"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СПО  "Сирена-Базис диспетчер РНИЦ/Автоконтроль"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СПО  "Сирена-Базис диспетчер РНИЦ/Лесное хозяйство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СПО "Сирена -Базис диспетчер РНИЦ/03"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СПО "Сирена -Базис диспетчер РНИЦ/Пассажирские перевозки"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АРМ СПО "Сирена -Базис диспетчер РНИЦ/Школьный автобус"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-Базис сервер /Сирена-МЦ"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 /Автоконтроль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 /Сирена -МЦ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 модуль "Администратор РНИЦ"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Report/03"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Report/АПК"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Report/Дорожное строительство"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Report/ЖКХ"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Report/Лесное хозяйство"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Report/Опасные грузы"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Report/Пассажирские перевозки"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 WEB- Report/Школьный автобус"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283 000,00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 Базис сервер /Дорожное строительство"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 Базис сервер /ЖКХ"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 Базис сервер /Опасные грузы"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"Сирена-Базис сервер/ Автоконтроль"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"Сирена-Базис сервер/ Лесное хозяйство"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"Сирена-Базис сервер/ Пассажирские перевозки"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"Сирена-Базис сервер/ Школьный автобус"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"Сирена-Дельта/112"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"Сирена-Дельта/администратор РНИЦ"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 "Сирена-Дельта/Навигациооные платформы"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модуль "Сирена - Дельта/Унификация"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298 792,00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298 792,00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подключение дополнительного ГНСС- приемника - ГНСС-приемник ФАЗА+ к ПО ПИЛОТ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4 136 000,00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4 136 000,00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подключение дополнительного ГНСС- приемника- не ФАЗА + приемника к ПО ПИЛОТ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9 000 000,00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18,000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подключение дополнительного ГНСС- приемника- ФАЗА + приемника к ПО ПИЛОТ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СПО "Сирена - Дельта сервер" (базовая лицезия)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1 800 000,00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1 800 000,00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на СПО "Сирена -Базис сервер" (базовая лицезия)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2 900 000,00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2 900 000,00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Обработка сигналов QZSS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Обработка сигналов QZSS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обработка сигналов QZSS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обработка сигналов QZSS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передача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Пилот Базис Пакет 1подключение 5-ти ГНСС- приемников ФАЗА+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320 000,00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Пилот Базис Пакет 2 Синхронизатор/ обработчик сети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276 000,00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Пилот Базис Пакет 3 ПО Получение сетевых поправок- 25 пользовательских сессий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Пилот Базс Пакет 4 ПО "Пилот Интернет" базовая версия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приём CMR/CMR+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приём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приём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приём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приём CMRx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RTCM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RTCM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RTCM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прием RTCM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Сирена - Базис "WEB- Report"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 Сирена - Дельта  модуль "Эра- ГЛОНАСС"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462 000,00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Лицензия- Увеличение частоты отслеживания/ записи измерений, с 1 до 20Гц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Лицензия- Увеличение частоты отслеживания/ записи измерений, с 1 до 20Гц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Лицензия- Увеличение частоты отслеживания/ записи измерений, с 1 до 20Гц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38 300,00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Лицензия- Увеличение частоты отслеживания/ записи измерений, с 1 до 20Гц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612 800,00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16,000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Многофункциональное системное навигационно-геоинформационное программное обеспечение "НИС-Платформа"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2 500 000,00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Неисключительные права (FG) на операционную систему для ПК , FQC-08094 WinPro 8.1 SNGL OLP NL Legali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44 520,00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Неисключительные права (FG) на операционную систему для сервера P73-06283 WinSvrStd 2012R2 Rus OLP N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94 599,00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94 599,00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 BD505A HP iLO Adv incl 3yr TS U 1-Svr Lic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66 265,86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66 265,86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 Microsoft WinSvrStd 2012R2 rus OLT NT 2Proc (P73-06283)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193 534,04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193 534,04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ПО ПИЛОТ -Интернет, расширенная версия (интернет портал к системе ПИЛОТ)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500 000,00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Ппрограмное обеспечение MS SQLSvrEntCore 2012 RUS OLP 2Lic NL CoreLic Qifd (7JQ-00251)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1 997 000,00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1 997 000,00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Право использования программы ЭВМ "Контур закупки" по тарифному плану Эксперт 12 мес.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22 800,00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Программный комплекс "Навигация 46" СПО "Навигация 46-Агро"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495 000,00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 w:left="105"/>
              <w:jc w:val="lef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Учебный модуль1 мультисервисной платформы совместного использования транспортных средств в городской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74 500,00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sz w:val="14"/>
                <w:szCs w:val="14"/>
              </w:rPr>
              <w:t xml:space="preserve">1,000</w:t>
            </w:r>
            <w:r/>
          </w:p>
        </w:tc>
        <w:tc>
          <w:tcPr>
            <w:shd w:val="clear" w:color="auto" w:fill="auto"/>
            <w:tcBorders>
              <w:top w:val="single" w:color="acc8bd" w:sz="5" w:space="0"/>
              <w:left w:val="single" w:color="acc8bd" w:sz="5" w:space="0"/>
              <w:bottom w:val="single" w:color="acc8bd" w:sz="5" w:space="0"/>
              <w:right w:val="single" w:color="acc8bd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lef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Итого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46 626 048,90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46 626 048,90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2505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88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267,000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619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>
              <w:rPr>
                <w:rFonts w:ascii="Arial" w:hAnsi="Arial"/>
                <w:b/>
                <w:color w:val="003f2f"/>
                <w:sz w:val="15"/>
                <w:szCs w:val="15"/>
              </w:rPr>
              <w:t xml:space="preserve">267,000</w:t>
            </w:r>
            <w:r/>
          </w:p>
        </w:tc>
        <w:tc>
          <w:tcPr>
            <w:shd w:val="clear" w:color="auto" w:fill="d6e5cb"/>
            <w:tcBorders>
              <w:top w:val="single" w:color="a0a0a0" w:sz="5" w:space="0"/>
              <w:left w:val="single" w:color="a0a0a0" w:sz="5" w:space="0"/>
              <w:bottom w:val="single" w:color="a0a0a0" w:sz="5" w:space="0"/>
              <w:right w:val="single" w:color="a0a0a0" w:sz="5" w:space="0"/>
            </w:tcBorders>
            <w:tcW w:w="1501" w:type="dxa"/>
            <w:vAlign w:val="top"/>
            <w:textDirection w:val="lrTb"/>
            <w:noWrap w:val="false"/>
          </w:tcPr>
          <w:p>
            <w:pPr>
              <w:pBdr/>
              <w:spacing w:after="0"/>
              <w:ind/>
              <w:jc w:val="right"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9" w:orient="portrait" w:w="11907"/>
      <w:pgMar w:top="567" w:right="340" w:bottom="567" w:left="34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table" w:styleId="658">
    <w:name w:val="TableStyle0"/>
    <w:pPr>
      <w:pBdr/>
      <w:spacing w:after="0" w:line="240" w:lineRule="auto"/>
      <w:ind/>
    </w:pPr>
    <w:rPr>
      <w:rFonts w:ascii="Arial" w:hAnsi="Arial"/>
      <w:sz w:val="12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